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济青高速铁路有限公司拟招聘岗位需求计划表</w:t>
      </w:r>
    </w:p>
    <w:tbl>
      <w:tblPr>
        <w:tblStyle w:val="2"/>
        <w:tblW w:w="52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916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站前专业工程师岗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（路基）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4.土木工程、交通土建、铁道、路基、站场等相关专业；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5.具有5年以上高速铁路或路网干线铁路建设管理工作经验，具有独立完成业务工作的能力；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站前专业工程师岗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（桥梁）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4.土木工程、交通土建、铁道工程、桥梁工程等相关专业；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5.具有5年以上高速铁路或路网干线铁路建设管理工作经验，具有独立完成业务工作的能力；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站前专业工程师岗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（隧道）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4.隧道等相关专业；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5.具有5年以上高速铁路或路网干线铁路建设管理工作经验，具有独立完成业务工作的能力；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房建专业工程师岗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4.建筑工程等相关专业；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5.具有5年以上高速铁路或路网干线铁路站房建设管理工作经验，具有独立完成业务工作的能力；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四电专业工程师岗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（牵引供电、电力）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4.牵引供电（接触网、牵引变电）、电力等相关专业；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5.具有5年以上高速铁路或路网干线铁路牵引供电、电力建设管理工作经验，具有独立完成业务工作的能力；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四电专业工程师岗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（信号、信息客服）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4.信号、信息客服等相关专业；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5.具有5年以上高速铁路或路网干线铁路信号建设</w:t>
            </w:r>
            <w:r>
              <w:rPr>
                <w:rFonts w:ascii="宋体" w:hAnsi="宋体" w:eastAsia="宋体" w:cs="宋体"/>
                <w:kern w:val="0"/>
                <w:sz w:val="22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、信息客服管理工作经验，具有独立完成业务工作的能力；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质量管理工程师岗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4.土木工程、建筑工程等相关专业；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5.具有5年以上高速铁路或路网干线铁路施工工作经验，担任过安质（或工程）负责人及以上职务，具有独立完成业务工作的能力；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安全管理工程师岗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3.工程师及以上职称；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4.安全工程、土木工程、建筑工程等相关专业；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5.具有5年以上高速铁路或路网干线铁路施工工作经验，担任过安质（或工程）负责人及以上职务，具有独立完成业务工作的能力；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6.具有较强文字写作能力的优先考虑；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物资管理工程师岗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1.35周岁（含）以下；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2.全日制大学本科及以上学历；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3.中级及以上职称；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4.工程、材料、设备、管理类相关专业；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5.具有5年以上铁路建设项目物资设备管理经验；同时具有一定的铁路工程建设管理经验的优先考虑；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6.熟悉铁路现行物资验收标准规范；能够独立完成物资招标评标工作，有大型铁路项目物资招标评标经验；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7.特别优秀的，年龄可放宽至40周岁（含）。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10人</w:t>
            </w:r>
          </w:p>
        </w:tc>
        <w:tc>
          <w:tcPr>
            <w:tcW w:w="3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3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2020-08-07T11:36:38Z</dcterms:created>
  <dc:creator>123</dc:creator>
  <cp:lastModifiedBy>饮水思源</cp:lastModifiedBy>
  <dcterms:modified xsi:type="dcterms:W3CDTF">2020-08-07T11:37:02Z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